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7EF8B" w14:textId="77777777" w:rsidR="000203CE" w:rsidRDefault="00EB64F0">
      <w:pPr>
        <w:pBdr>
          <w:top w:val="nil"/>
          <w:left w:val="nil"/>
          <w:bottom w:val="nil"/>
          <w:right w:val="nil"/>
          <w:between w:val="nil"/>
        </w:pBdr>
        <w:jc w:val="center"/>
      </w:pPr>
      <w:r>
        <w:rPr>
          <w:noProof/>
        </w:rPr>
        <w:drawing>
          <wp:inline distT="114300" distB="114300" distL="114300" distR="114300" wp14:anchorId="38F67052" wp14:editId="613FC338">
            <wp:extent cx="3414713" cy="1317351"/>
            <wp:effectExtent l="0" t="0" r="0" b="0"/>
            <wp:docPr id="2" name="image1.png" descr="LEADERS logo white.png"/>
            <wp:cNvGraphicFramePr/>
            <a:graphic xmlns:a="http://schemas.openxmlformats.org/drawingml/2006/main">
              <a:graphicData uri="http://schemas.openxmlformats.org/drawingml/2006/picture">
                <pic:pic xmlns:pic="http://schemas.openxmlformats.org/drawingml/2006/picture">
                  <pic:nvPicPr>
                    <pic:cNvPr id="0" name="image1.png" descr="LEADERS logo white.png"/>
                    <pic:cNvPicPr preferRelativeResize="0"/>
                  </pic:nvPicPr>
                  <pic:blipFill>
                    <a:blip r:embed="rId5"/>
                    <a:srcRect/>
                    <a:stretch>
                      <a:fillRect/>
                    </a:stretch>
                  </pic:blipFill>
                  <pic:spPr>
                    <a:xfrm>
                      <a:off x="0" y="0"/>
                      <a:ext cx="3414713" cy="1317351"/>
                    </a:xfrm>
                    <a:prstGeom prst="rect">
                      <a:avLst/>
                    </a:prstGeom>
                    <a:ln/>
                  </pic:spPr>
                </pic:pic>
              </a:graphicData>
            </a:graphic>
          </wp:inline>
        </w:drawing>
      </w:r>
    </w:p>
    <w:p w14:paraId="5F0D5C8B" w14:textId="77777777" w:rsidR="000203CE" w:rsidRDefault="00EB64F0">
      <w:pPr>
        <w:pBdr>
          <w:top w:val="nil"/>
          <w:left w:val="nil"/>
          <w:bottom w:val="nil"/>
          <w:right w:val="nil"/>
          <w:between w:val="nil"/>
        </w:pBd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Disorder, Difference or Gap: A School-Age Disability Evaluation</w:t>
      </w:r>
    </w:p>
    <w:p w14:paraId="1EA4316A" w14:textId="77777777" w:rsidR="000203CE" w:rsidRDefault="000203CE">
      <w:pPr>
        <w:pBdr>
          <w:top w:val="nil"/>
          <w:left w:val="nil"/>
          <w:bottom w:val="nil"/>
          <w:right w:val="nil"/>
          <w:between w:val="nil"/>
        </w:pBdr>
        <w:jc w:val="center"/>
        <w:rPr>
          <w:rFonts w:ascii="Times New Roman" w:eastAsia="Times New Roman" w:hAnsi="Times New Roman" w:cs="Times New Roman"/>
          <w:b/>
          <w:sz w:val="24"/>
          <w:szCs w:val="24"/>
        </w:rPr>
      </w:pPr>
    </w:p>
    <w:p w14:paraId="1C087F16" w14:textId="77777777" w:rsidR="000203CE" w:rsidRDefault="00EB64F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Learning Outcomes</w:t>
      </w:r>
    </w:p>
    <w:p w14:paraId="0D001EBA" w14:textId="77777777" w:rsidR="000203CE" w:rsidRDefault="00EB64F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important factors to consider when making a differential diagnosis of speech and</w:t>
      </w:r>
    </w:p>
    <w:p w14:paraId="58A76DBB" w14:textId="77777777" w:rsidR="000203CE" w:rsidRDefault="00EB64F0">
      <w:pPr>
        <w:pBdr>
          <w:top w:val="nil"/>
          <w:left w:val="nil"/>
          <w:bottom w:val="nil"/>
          <w:right w:val="nil"/>
          <w:between w:val="nil"/>
        </w:pBdr>
        <w:ind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language impairments when assessing school-age children.</w:t>
      </w:r>
    </w:p>
    <w:p w14:paraId="2A298690" w14:textId="77777777" w:rsidR="000203CE" w:rsidRDefault="00EB64F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Identify a variety of assessment materials and that can assist in the differential diagnosis analysis of scho</w:t>
      </w:r>
      <w:r>
        <w:rPr>
          <w:rFonts w:ascii="Times New Roman" w:eastAsia="Times New Roman" w:hAnsi="Times New Roman" w:cs="Times New Roman"/>
          <w:sz w:val="24"/>
          <w:szCs w:val="24"/>
        </w:rPr>
        <w:t>ol-age children and examine how to appropriately use those materials with students from certain backgrounds.</w:t>
      </w:r>
    </w:p>
    <w:p w14:paraId="161BFDCF" w14:textId="77777777" w:rsidR="000203CE" w:rsidRDefault="00EB64F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ASHA practice portals and evidence-based practice concerning school-age disability evaluations.</w:t>
      </w:r>
    </w:p>
    <w:p w14:paraId="4AE4AA37" w14:textId="77777777" w:rsidR="000203CE" w:rsidRDefault="00EB64F0">
      <w:pPr>
        <w:numPr>
          <w:ilvl w:val="0"/>
          <w:numId w:val="2"/>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Demonstrate knowledge of ASHA practice portals and evidence-based practice concerning the assessment of students from culturally and li</w:t>
      </w:r>
      <w:r>
        <w:rPr>
          <w:rFonts w:ascii="Times New Roman" w:eastAsia="Times New Roman" w:hAnsi="Times New Roman" w:cs="Times New Roman"/>
          <w:sz w:val="24"/>
          <w:szCs w:val="24"/>
        </w:rPr>
        <w:t>nguistically diverse populations.</w:t>
      </w:r>
    </w:p>
    <w:p w14:paraId="4162ECC7"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0B225E3F" w14:textId="77777777" w:rsidR="000203CE" w:rsidRDefault="00EB64F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Description</w:t>
      </w:r>
    </w:p>
    <w:p w14:paraId="40864318" w14:textId="77777777" w:rsidR="000203CE" w:rsidRDefault="00EB64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This course identified important factors to consider when making a differential diagnosis of speech and language impairments when assessing school-age children, using a variety of assessment materials t</w:t>
      </w:r>
      <w:r>
        <w:rPr>
          <w:rFonts w:ascii="Times New Roman" w:eastAsia="Times New Roman" w:hAnsi="Times New Roman" w:cs="Times New Roman"/>
          <w:sz w:val="24"/>
          <w:szCs w:val="24"/>
        </w:rPr>
        <w:t>o assist in the differential diagnosis analysis. This course demonstrated that a child’s language and dialect acquisitional history, educational history, and parent and teacher interviews are important considerations in reaching a differential diagnosis. P</w:t>
      </w:r>
      <w:r>
        <w:rPr>
          <w:rFonts w:ascii="Times New Roman" w:eastAsia="Times New Roman" w:hAnsi="Times New Roman" w:cs="Times New Roman"/>
          <w:sz w:val="24"/>
          <w:szCs w:val="24"/>
        </w:rPr>
        <w:t>articipants demonstrated knowledge of ASHA practice portals and evidence-based practice concerning school-age disability evaluations and assessing culturally and linguistically diverse populations.</w:t>
      </w:r>
    </w:p>
    <w:p w14:paraId="3B310BC7" w14:textId="77777777" w:rsidR="00435BB5" w:rsidRDefault="00435BB5">
      <w:pPr>
        <w:pBdr>
          <w:top w:val="nil"/>
          <w:left w:val="nil"/>
          <w:bottom w:val="nil"/>
          <w:right w:val="nil"/>
          <w:between w:val="nil"/>
        </w:pBdr>
        <w:rPr>
          <w:rFonts w:ascii="Times New Roman" w:eastAsia="Times New Roman" w:hAnsi="Times New Roman" w:cs="Times New Roman"/>
          <w:b/>
          <w:sz w:val="24"/>
          <w:szCs w:val="24"/>
        </w:rPr>
      </w:pPr>
    </w:p>
    <w:p w14:paraId="79C8D000" w14:textId="69C16448" w:rsidR="000203CE" w:rsidRDefault="00435BB5">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Course Outline</w:t>
      </w:r>
    </w:p>
    <w:p w14:paraId="27E07980" w14:textId="77777777" w:rsidR="000203CE" w:rsidRDefault="00EB64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Participants review the video modules</w:t>
      </w:r>
      <w:r>
        <w:rPr>
          <w:rFonts w:ascii="Times New Roman" w:eastAsia="Times New Roman" w:hAnsi="Times New Roman" w:cs="Times New Roman"/>
          <w:sz w:val="24"/>
          <w:szCs w:val="24"/>
        </w:rPr>
        <w:t xml:space="preserve"> and the readings and then take the written assessment. The topics of the video modules are to be completed in the following order: </w:t>
      </w:r>
    </w:p>
    <w:p w14:paraId="69A1F3BF" w14:textId="77777777" w:rsidR="000203CE" w:rsidRDefault="00EB64F0">
      <w:pPr>
        <w:numPr>
          <w:ilvl w:val="0"/>
          <w:numId w:val="1"/>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Module 1: Language Acquisitional History, Family History, and Educational Background</w:t>
      </w:r>
    </w:p>
    <w:p w14:paraId="0510D4D6" w14:textId="77777777" w:rsidR="000203CE" w:rsidRDefault="00EB64F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Module 2: Academic Performance and Tea</w:t>
      </w:r>
      <w:r>
        <w:rPr>
          <w:rFonts w:ascii="Times New Roman" w:eastAsia="Times New Roman" w:hAnsi="Times New Roman" w:cs="Times New Roman"/>
          <w:sz w:val="24"/>
          <w:szCs w:val="24"/>
        </w:rPr>
        <w:t>cher Interview</w:t>
      </w:r>
    </w:p>
    <w:p w14:paraId="71C1BF2D" w14:textId="77777777" w:rsidR="000203CE" w:rsidRDefault="00EB64F0">
      <w:pPr>
        <w:numPr>
          <w:ilvl w:val="0"/>
          <w:numId w:val="1"/>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Module 3:</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Student-Evaluator Clinical Interaction</w:t>
      </w:r>
    </w:p>
    <w:p w14:paraId="30D00C59" w14:textId="77777777" w:rsidR="000203CE" w:rsidRDefault="00EB64F0">
      <w:pPr>
        <w:numPr>
          <w:ilvl w:val="0"/>
          <w:numId w:val="1"/>
        </w:num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Module 4: Analysis and Disability Determination: Disorder, Difference, or Gap? </w:t>
      </w:r>
    </w:p>
    <w:p w14:paraId="3876747F"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7446AF17" w14:textId="77777777" w:rsidR="00435BB5" w:rsidRDefault="00435BB5" w:rsidP="00435BB5">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This course, offered for ASHA CEUs, has no registration fee. </w:t>
      </w:r>
    </w:p>
    <w:p w14:paraId="335FEE86" w14:textId="6D3DBB48" w:rsidR="000203CE" w:rsidRDefault="000203CE">
      <w:pPr>
        <w:pBdr>
          <w:top w:val="nil"/>
          <w:left w:val="nil"/>
          <w:bottom w:val="nil"/>
          <w:right w:val="nil"/>
          <w:between w:val="nil"/>
        </w:pBdr>
        <w:rPr>
          <w:rFonts w:ascii="Times New Roman" w:eastAsia="Times New Roman" w:hAnsi="Times New Roman" w:cs="Times New Roman"/>
          <w:sz w:val="24"/>
          <w:szCs w:val="24"/>
        </w:rPr>
      </w:pPr>
      <w:bookmarkStart w:id="0" w:name="_GoBack"/>
      <w:bookmarkEnd w:id="0"/>
    </w:p>
    <w:p w14:paraId="024E61FA"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14115863"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78789A04"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45B98A4F" w14:textId="77777777" w:rsidR="000203CE" w:rsidRDefault="00EB64F0">
      <w:pPr>
        <w:pBdr>
          <w:top w:val="nil"/>
          <w:left w:val="nil"/>
          <w:bottom w:val="nil"/>
          <w:right w:val="nil"/>
          <w:between w:val="nil"/>
        </w:pBdr>
        <w:jc w:val="center"/>
        <w:rPr>
          <w:rFonts w:ascii="Times New Roman" w:eastAsia="Times New Roman" w:hAnsi="Times New Roman" w:cs="Times New Roman"/>
          <w:b/>
          <w:sz w:val="24"/>
          <w:szCs w:val="24"/>
        </w:rPr>
      </w:pPr>
      <w:r>
        <w:rPr>
          <w:noProof/>
        </w:rPr>
        <w:lastRenderedPageBreak/>
        <w:drawing>
          <wp:inline distT="114300" distB="114300" distL="114300" distR="114300" wp14:anchorId="6631157B" wp14:editId="0411FD3C">
            <wp:extent cx="3414713" cy="1317351"/>
            <wp:effectExtent l="0" t="0" r="0" b="0"/>
            <wp:docPr id="1" name="image1.png" descr="LEADERS logo white.png"/>
            <wp:cNvGraphicFramePr/>
            <a:graphic xmlns:a="http://schemas.openxmlformats.org/drawingml/2006/main">
              <a:graphicData uri="http://schemas.openxmlformats.org/drawingml/2006/picture">
                <pic:pic xmlns:pic="http://schemas.openxmlformats.org/drawingml/2006/picture">
                  <pic:nvPicPr>
                    <pic:cNvPr id="0" name="image1.png" descr="LEADERS logo white.png"/>
                    <pic:cNvPicPr preferRelativeResize="0"/>
                  </pic:nvPicPr>
                  <pic:blipFill>
                    <a:blip r:embed="rId5"/>
                    <a:srcRect/>
                    <a:stretch>
                      <a:fillRect/>
                    </a:stretch>
                  </pic:blipFill>
                  <pic:spPr>
                    <a:xfrm>
                      <a:off x="0" y="0"/>
                      <a:ext cx="3414713" cy="1317351"/>
                    </a:xfrm>
                    <a:prstGeom prst="rect">
                      <a:avLst/>
                    </a:prstGeom>
                    <a:ln/>
                  </pic:spPr>
                </pic:pic>
              </a:graphicData>
            </a:graphic>
          </wp:inline>
        </w:drawing>
      </w:r>
    </w:p>
    <w:p w14:paraId="79FBC01A"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4A05A99E" w14:textId="77777777" w:rsidR="000203CE" w:rsidRDefault="00EB64F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Disclosure</w:t>
      </w:r>
    </w:p>
    <w:p w14:paraId="5648FC1F" w14:textId="77777777" w:rsidR="000203CE" w:rsidRDefault="00EB64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Catherine Crowley, J.D., Ph.D., CCC-SLP has a financial relationship with Teachers College</w:t>
      </w:r>
    </w:p>
    <w:p w14:paraId="48FD166A" w14:textId="77777777" w:rsidR="000203CE" w:rsidRDefault="00EB64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Columbia University in that she is a salaried faculty member and she receives no additional</w:t>
      </w:r>
    </w:p>
    <w:p w14:paraId="3051C297" w14:textId="77777777" w:rsidR="000203CE" w:rsidRDefault="00EB64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sz w:val="24"/>
          <w:szCs w:val="24"/>
        </w:rPr>
        <w:t>financial compensation from this course. Dr. Crowley has no other financi</w:t>
      </w:r>
      <w:r>
        <w:rPr>
          <w:rFonts w:ascii="Times New Roman" w:eastAsia="Times New Roman" w:hAnsi="Times New Roman" w:cs="Times New Roman"/>
          <w:sz w:val="24"/>
          <w:szCs w:val="24"/>
        </w:rPr>
        <w:t>al or nonfinancial</w:t>
      </w:r>
    </w:p>
    <w:p w14:paraId="4BA2EBC7" w14:textId="77777777" w:rsidR="000203CE" w:rsidRDefault="00EB64F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relationships. </w:t>
      </w:r>
    </w:p>
    <w:p w14:paraId="443C11BA"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4F80DDA4" w14:textId="77777777" w:rsidR="000203CE" w:rsidRDefault="00EB64F0">
      <w:pPr>
        <w:pBdr>
          <w:top w:val="nil"/>
          <w:left w:val="nil"/>
          <w:bottom w:val="nil"/>
          <w:right w:val="nil"/>
          <w:between w:val="nil"/>
        </w:pBd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Dr. Catherine (Cate) Crowley, J.D., Ph.D., CCC-SLP </w:t>
      </w:r>
      <w:r>
        <w:rPr>
          <w:rFonts w:ascii="Times New Roman" w:eastAsia="Times New Roman" w:hAnsi="Times New Roman" w:cs="Times New Roman"/>
          <w:sz w:val="24"/>
          <w:szCs w:val="24"/>
        </w:rPr>
        <w:t xml:space="preserve">Professor of Practice in Communication Sciences and Disorders at Teachers College Columbia University, founded and directs the bilingual/multicultural program focus and </w:t>
      </w:r>
      <w:r>
        <w:rPr>
          <w:rFonts w:ascii="Times New Roman" w:eastAsia="Times New Roman" w:hAnsi="Times New Roman" w:cs="Times New Roman"/>
          <w:sz w:val="24"/>
          <w:szCs w:val="24"/>
        </w:rPr>
        <w:t>the Bilingual Extension Institute. An experienced attorney, Dr. Crowley works with school districts and state education departments to increase the accuracy of disability evaluations and to identify appropriate supports for students with academic difficult</w:t>
      </w:r>
      <w:r>
        <w:rPr>
          <w:rFonts w:ascii="Times New Roman" w:eastAsia="Times New Roman" w:hAnsi="Times New Roman" w:cs="Times New Roman"/>
          <w:sz w:val="24"/>
          <w:szCs w:val="24"/>
        </w:rPr>
        <w:t>ies. An ASHA fellow, Dr. Crowley received ASHA awards for “Contributions to Multicultural Affairs”; “International Achievement”; and “Outstanding contributions to SLP services in schools” and received Honors from the New York State Speech Language and Hear</w:t>
      </w:r>
      <w:r>
        <w:rPr>
          <w:rFonts w:ascii="Times New Roman" w:eastAsia="Times New Roman" w:hAnsi="Times New Roman" w:cs="Times New Roman"/>
          <w:sz w:val="24"/>
          <w:szCs w:val="24"/>
        </w:rPr>
        <w:t xml:space="preserve">ing Association. While on ASHA’s Multicultural Issues Board, Dr. Crowley co-authored the current ASHA practice policy documents on the roles and responsibilities of SLPs in schools. </w:t>
      </w:r>
    </w:p>
    <w:p w14:paraId="1DC3CAF3" w14:textId="77777777" w:rsidR="000203CE" w:rsidRDefault="000203CE">
      <w:pPr>
        <w:pBdr>
          <w:top w:val="nil"/>
          <w:left w:val="nil"/>
          <w:bottom w:val="nil"/>
          <w:right w:val="nil"/>
          <w:between w:val="nil"/>
        </w:pBdr>
        <w:rPr>
          <w:rFonts w:ascii="Times New Roman" w:eastAsia="Times New Roman" w:hAnsi="Times New Roman" w:cs="Times New Roman"/>
          <w:sz w:val="24"/>
          <w:szCs w:val="24"/>
        </w:rPr>
      </w:pPr>
    </w:p>
    <w:p w14:paraId="7B4D951B"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6A5E1BED" w14:textId="77777777" w:rsidR="000203CE" w:rsidRDefault="00EB64F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noProof/>
          <w:sz w:val="24"/>
          <w:szCs w:val="24"/>
        </w:rPr>
        <w:drawing>
          <wp:inline distT="114300" distB="114300" distL="114300" distR="114300" wp14:anchorId="412C8957" wp14:editId="649D9E54">
            <wp:extent cx="5943600" cy="1155700"/>
            <wp:effectExtent l="0" t="0" r="0" b="0"/>
            <wp:docPr id="3"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6"/>
                    <a:srcRect/>
                    <a:stretch>
                      <a:fillRect/>
                    </a:stretch>
                  </pic:blipFill>
                  <pic:spPr>
                    <a:xfrm>
                      <a:off x="0" y="0"/>
                      <a:ext cx="5943600" cy="1155700"/>
                    </a:xfrm>
                    <a:prstGeom prst="rect">
                      <a:avLst/>
                    </a:prstGeom>
                    <a:ln/>
                  </pic:spPr>
                </pic:pic>
              </a:graphicData>
            </a:graphic>
          </wp:inline>
        </w:drawing>
      </w:r>
    </w:p>
    <w:p w14:paraId="37623B53" w14:textId="77777777" w:rsidR="000203CE" w:rsidRDefault="000203CE">
      <w:pPr>
        <w:pBdr>
          <w:top w:val="nil"/>
          <w:left w:val="nil"/>
          <w:bottom w:val="nil"/>
          <w:right w:val="nil"/>
          <w:between w:val="nil"/>
        </w:pBdr>
        <w:rPr>
          <w:rFonts w:ascii="Times New Roman" w:eastAsia="Times New Roman" w:hAnsi="Times New Roman" w:cs="Times New Roman"/>
          <w:b/>
          <w:sz w:val="24"/>
          <w:szCs w:val="24"/>
        </w:rPr>
      </w:pPr>
    </w:p>
    <w:p w14:paraId="4E8AAC07" w14:textId="77777777" w:rsidR="000203CE" w:rsidRDefault="00EB64F0">
      <w:p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b/>
          <w:sz w:val="24"/>
          <w:szCs w:val="24"/>
        </w:rPr>
        <w:t>This program is offered for 0.35 ASHA CEUs (Intermediate level; Prof</w:t>
      </w:r>
      <w:r>
        <w:rPr>
          <w:rFonts w:ascii="Times New Roman" w:eastAsia="Times New Roman" w:hAnsi="Times New Roman" w:cs="Times New Roman"/>
          <w:b/>
          <w:sz w:val="24"/>
          <w:szCs w:val="24"/>
        </w:rPr>
        <w:t xml:space="preserve">essional area). </w:t>
      </w:r>
    </w:p>
    <w:sectPr w:rsidR="000203CE">
      <w:pgSz w:w="12240" w:h="15840"/>
      <w:pgMar w:top="576" w:right="1296" w:bottom="1440" w:left="1296"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D55ED4"/>
    <w:multiLevelType w:val="multilevel"/>
    <w:tmpl w:val="6408092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4BC05A84"/>
    <w:multiLevelType w:val="multilevel"/>
    <w:tmpl w:val="696A93F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3CE"/>
    <w:rsid w:val="000203CE"/>
    <w:rsid w:val="00435BB5"/>
    <w:rsid w:val="00EB6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AE62124"/>
  <w15:docId w15:val="{2E6E8132-08B7-204E-9292-27946CD6CA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484</Words>
  <Characters>2763</Characters>
  <Application>Microsoft Office Word</Application>
  <DocSecurity>0</DocSecurity>
  <Lines>23</Lines>
  <Paragraphs>6</Paragraphs>
  <ScaleCrop>false</ScaleCrop>
  <Company/>
  <LinksUpToDate>false</LinksUpToDate>
  <CharactersWithSpaces>3241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Julie Smith</cp:lastModifiedBy>
  <cp:revision>2</cp:revision>
  <dcterms:created xsi:type="dcterms:W3CDTF">2019-11-14T20:16:00Z</dcterms:created>
  <dcterms:modified xsi:type="dcterms:W3CDTF">2019-11-14T20:16:00Z</dcterms:modified>
</cp:coreProperties>
</file>